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45D" w:rsidRPr="0022345D" w:rsidRDefault="0022345D" w:rsidP="0022345D">
      <w:pPr>
        <w:keepNext/>
        <w:keepLines/>
        <w:bidi w:val="0"/>
        <w:spacing w:after="0" w:line="256" w:lineRule="auto"/>
        <w:ind w:left="10" w:right="-58" w:hanging="10"/>
        <w:jc w:val="center"/>
        <w:outlineLvl w:val="0"/>
        <w:rPr>
          <w:rFonts w:ascii="Times New Roman" w:eastAsia="Times New Roman" w:hAnsi="Times New Roman" w:cs="Times New Roman"/>
          <w:bCs/>
          <w:iCs/>
          <w:color w:val="000000"/>
          <w:sz w:val="44"/>
          <w:szCs w:val="44"/>
          <w:lang w:eastAsia="it-IT"/>
        </w:rPr>
      </w:pPr>
      <w:r w:rsidRPr="0022345D">
        <w:rPr>
          <w:rFonts w:ascii="Times New Roman" w:eastAsia="Times New Roman" w:hAnsi="Times New Roman" w:cs="Times New Roman"/>
          <w:bCs/>
          <w:iCs/>
          <w:sz w:val="44"/>
          <w:szCs w:val="44"/>
        </w:rPr>
        <w:t xml:space="preserve">Chaos control and Synchronization </w:t>
      </w:r>
      <w:r>
        <w:rPr>
          <w:rFonts w:ascii="Times New Roman" w:eastAsia="Times New Roman" w:hAnsi="Times New Roman" w:cs="Times New Roman"/>
          <w:bCs/>
          <w:iCs/>
          <w:sz w:val="44"/>
          <w:szCs w:val="44"/>
        </w:rPr>
        <w:t xml:space="preserve">in </w:t>
      </w:r>
      <w:r w:rsidRPr="0022345D">
        <w:rPr>
          <w:rFonts w:ascii="Times New Roman" w:eastAsia="Times New Roman" w:hAnsi="Times New Roman" w:cs="Times New Roman"/>
          <w:bCs/>
          <w:iCs/>
          <w:sz w:val="44"/>
          <w:szCs w:val="44"/>
        </w:rPr>
        <w:t>Quantum</w:t>
      </w:r>
      <w:r>
        <w:rPr>
          <w:rFonts w:ascii="Times New Roman" w:eastAsia="Times New Roman" w:hAnsi="Times New Roman" w:cs="Times New Roman"/>
          <w:bCs/>
          <w:iCs/>
          <w:sz w:val="44"/>
          <w:szCs w:val="44"/>
        </w:rPr>
        <w:t xml:space="preserve"> Dot Light Emitting Diodes </w:t>
      </w:r>
      <w:bookmarkStart w:id="0" w:name="_GoBack"/>
      <w:bookmarkEnd w:id="0"/>
    </w:p>
    <w:p w:rsidR="00AF6D05" w:rsidRPr="00AF6D05" w:rsidRDefault="00AF6D05" w:rsidP="00AF6D05">
      <w:pPr>
        <w:bidi w:val="0"/>
        <w:spacing w:before="360" w:after="40" w:line="240" w:lineRule="auto"/>
        <w:ind w:left="720" w:hanging="720"/>
        <w:jc w:val="center"/>
        <w:rPr>
          <w:rFonts w:ascii="Times New Roman" w:eastAsia="Calibri" w:hAnsi="Times New Roman" w:cs="Times New Roman"/>
          <w:bCs/>
          <w:color w:val="FF0000"/>
          <w:vertAlign w:val="superscript"/>
        </w:rPr>
      </w:pPr>
      <w:r w:rsidRPr="00AF6D05">
        <w:rPr>
          <w:rFonts w:ascii="Times New Roman" w:eastAsia="Calibri" w:hAnsi="Times New Roman" w:cs="Times New Roman"/>
          <w:bCs/>
        </w:rPr>
        <w:t>S.F. Abdalah</w:t>
      </w:r>
      <w:r w:rsidRPr="00AF6D05">
        <w:rPr>
          <w:rFonts w:ascii="Times New Roman" w:eastAsia="Calibri" w:hAnsi="Times New Roman" w:cs="Times New Roman"/>
          <w:bCs/>
          <w:vertAlign w:val="superscript"/>
        </w:rPr>
        <w:t>1</w:t>
      </w:r>
      <w:proofErr w:type="gramStart"/>
      <w:r>
        <w:rPr>
          <w:rFonts w:ascii="Times New Roman" w:eastAsia="Calibri" w:hAnsi="Times New Roman" w:cs="Times New Roman"/>
          <w:bCs/>
        </w:rPr>
        <w:t xml:space="preserve">, </w:t>
      </w:r>
      <w:r w:rsidRPr="00AF6D05">
        <w:rPr>
          <w:rFonts w:ascii="Times New Roman" w:eastAsia="Calibri" w:hAnsi="Times New Roman" w:cs="Times New Roman"/>
          <w:bCs/>
        </w:rPr>
        <w:t>,</w:t>
      </w:r>
      <w:proofErr w:type="gramEnd"/>
      <w:r w:rsidRPr="00AF6D05">
        <w:rPr>
          <w:rFonts w:ascii="Times New Roman" w:eastAsia="Calibri" w:hAnsi="Times New Roman" w:cs="Times New Roman"/>
          <w:bCs/>
        </w:rPr>
        <w:t xml:space="preserve"> H. Al Husseini</w:t>
      </w:r>
      <w:r w:rsidRPr="00AF6D05">
        <w:rPr>
          <w:rFonts w:ascii="Times New Roman" w:eastAsia="Calibri" w:hAnsi="Times New Roman" w:cs="Times New Roman"/>
          <w:bCs/>
          <w:vertAlign w:val="superscript"/>
        </w:rPr>
        <w:t>2, 3</w:t>
      </w:r>
      <w:r w:rsidRPr="00AF6D05">
        <w:rPr>
          <w:rFonts w:ascii="Times New Roman" w:eastAsia="Calibri" w:hAnsi="Times New Roman" w:cs="Times New Roman"/>
          <w:bCs/>
        </w:rPr>
        <w:t>, K. Al Naimee</w:t>
      </w:r>
      <w:r>
        <w:rPr>
          <w:rFonts w:ascii="Times New Roman" w:eastAsia="Calibri" w:hAnsi="Times New Roman" w:cs="Times New Roman"/>
          <w:bCs/>
          <w:vertAlign w:val="superscript"/>
        </w:rPr>
        <w:t>1</w:t>
      </w:r>
      <w:r w:rsidRPr="00AF6D05">
        <w:rPr>
          <w:rFonts w:ascii="Times New Roman" w:eastAsia="Calibri" w:hAnsi="Times New Roman" w:cs="Times New Roman"/>
          <w:bCs/>
        </w:rPr>
        <w:t xml:space="preserve"> , A. Al Khursan</w:t>
      </w:r>
      <w:r w:rsidRPr="00AF6D05">
        <w:rPr>
          <w:rFonts w:ascii="Times New Roman" w:eastAsia="Calibri" w:hAnsi="Times New Roman" w:cs="Times New Roman"/>
          <w:bCs/>
          <w:vertAlign w:val="superscript"/>
        </w:rPr>
        <w:t>3</w:t>
      </w:r>
      <w:r w:rsidRPr="00AF6D05">
        <w:rPr>
          <w:rFonts w:ascii="Times New Roman" w:eastAsia="Calibri" w:hAnsi="Times New Roman" w:cs="Times New Roman"/>
          <w:bCs/>
        </w:rPr>
        <w:t>, A. H. Khedir</w:t>
      </w:r>
      <w:r w:rsidRPr="00AF6D05">
        <w:rPr>
          <w:rFonts w:ascii="Times New Roman" w:eastAsia="Calibri" w:hAnsi="Times New Roman" w:cs="Times New Roman"/>
          <w:bCs/>
          <w:vertAlign w:val="superscript"/>
        </w:rPr>
        <w:t>2</w:t>
      </w:r>
      <w:r w:rsidRPr="00AF6D05">
        <w:rPr>
          <w:rFonts w:ascii="Times New Roman" w:eastAsia="Calibri" w:hAnsi="Times New Roman" w:cs="Times New Roman"/>
          <w:bCs/>
        </w:rPr>
        <w:t>, R. Meucci</w:t>
      </w:r>
      <w:r w:rsidRPr="00AF6D05">
        <w:rPr>
          <w:rFonts w:ascii="Times New Roman" w:eastAsia="Calibri" w:hAnsi="Times New Roman" w:cs="Times New Roman"/>
          <w:bCs/>
          <w:vertAlign w:val="superscript"/>
        </w:rPr>
        <w:t>1</w:t>
      </w:r>
      <w:r w:rsidRPr="00AF6D05">
        <w:rPr>
          <w:rFonts w:ascii="Times New Roman" w:eastAsia="Calibri" w:hAnsi="Times New Roman" w:cs="Times New Roman"/>
          <w:bCs/>
        </w:rPr>
        <w:t>, F.T. Arecchi</w:t>
      </w:r>
      <w:r w:rsidRPr="00AF6D05">
        <w:rPr>
          <w:rFonts w:ascii="Times New Roman" w:eastAsia="Calibri" w:hAnsi="Times New Roman" w:cs="Times New Roman"/>
          <w:bCs/>
          <w:vertAlign w:val="superscript"/>
        </w:rPr>
        <w:t>1</w:t>
      </w:r>
      <w:r w:rsidRPr="00AF6D05">
        <w:rPr>
          <w:rFonts w:ascii="Times New Roman" w:eastAsia="Calibri" w:hAnsi="Times New Roman" w:cs="Times New Roman"/>
          <w:bCs/>
          <w:color w:val="000000" w:themeColor="text1"/>
          <w:vertAlign w:val="superscript"/>
        </w:rPr>
        <w:t>,4</w:t>
      </w:r>
    </w:p>
    <w:p w:rsidR="00AF6D05" w:rsidRPr="00AF6D05" w:rsidRDefault="00AF6D05" w:rsidP="00AF6D05">
      <w:pPr>
        <w:bidi w:val="0"/>
        <w:spacing w:before="360" w:after="40" w:line="240" w:lineRule="auto"/>
        <w:ind w:left="720" w:hanging="720"/>
        <w:jc w:val="center"/>
        <w:rPr>
          <w:rFonts w:ascii="Times New Roman" w:eastAsia="Calibri" w:hAnsi="Times New Roman" w:cs="Times New Roman"/>
          <w:bCs/>
          <w:vertAlign w:val="superscript"/>
        </w:rPr>
      </w:pPr>
    </w:p>
    <w:p w:rsidR="00AF6D05" w:rsidRPr="00AF6D05" w:rsidRDefault="00AF6D05" w:rsidP="00AF6D05">
      <w:pPr>
        <w:numPr>
          <w:ilvl w:val="0"/>
          <w:numId w:val="1"/>
        </w:numPr>
        <w:bidi w:val="0"/>
        <w:spacing w:after="0" w:line="240" w:lineRule="auto"/>
        <w:contextualSpacing/>
        <w:jc w:val="center"/>
        <w:rPr>
          <w:rFonts w:ascii="Times New Roman" w:eastAsia="Calibri" w:hAnsi="Times New Roman" w:cs="Times New Roman"/>
          <w:bCs/>
          <w:sz w:val="20"/>
          <w:szCs w:val="20"/>
          <w:lang w:val="it-IT"/>
        </w:rPr>
      </w:pPr>
      <w:r w:rsidRPr="00AF6D05">
        <w:rPr>
          <w:rFonts w:ascii="Times New Roman" w:eastAsia="Calibri" w:hAnsi="Times New Roman" w:cs="Times New Roman"/>
          <w:bCs/>
          <w:sz w:val="20"/>
          <w:szCs w:val="20"/>
          <w:lang w:val="it-IT"/>
        </w:rPr>
        <w:t>Istituto Nazionale di Ottica- CNR, Largo E. Fermi 6, 50125, Firenze, Italy</w:t>
      </w:r>
    </w:p>
    <w:p w:rsidR="00AF6D05" w:rsidRPr="00AF6D05" w:rsidRDefault="00AF6D05" w:rsidP="00AF6D05">
      <w:pPr>
        <w:numPr>
          <w:ilvl w:val="0"/>
          <w:numId w:val="1"/>
        </w:numPr>
        <w:bidi w:val="0"/>
        <w:spacing w:after="0" w:line="240" w:lineRule="auto"/>
        <w:contextualSpacing/>
        <w:jc w:val="center"/>
        <w:rPr>
          <w:rFonts w:ascii="Times New Roman" w:eastAsia="Calibri" w:hAnsi="Times New Roman" w:cs="Times New Roman"/>
          <w:bCs/>
          <w:sz w:val="20"/>
          <w:szCs w:val="20"/>
        </w:rPr>
      </w:pPr>
      <w:r w:rsidRPr="00AF6D05">
        <w:rPr>
          <w:rFonts w:ascii="Times New Roman" w:eastAsia="Calibri" w:hAnsi="Times New Roman" w:cs="Times New Roman"/>
          <w:bCs/>
          <w:sz w:val="20"/>
          <w:szCs w:val="20"/>
        </w:rPr>
        <w:t xml:space="preserve">Dept. of Physics, College of Science, University of Baghdad, Al </w:t>
      </w:r>
      <w:proofErr w:type="spellStart"/>
      <w:r w:rsidRPr="00AF6D05">
        <w:rPr>
          <w:rFonts w:ascii="Times New Roman" w:eastAsia="Calibri" w:hAnsi="Times New Roman" w:cs="Times New Roman"/>
          <w:bCs/>
          <w:sz w:val="20"/>
          <w:szCs w:val="20"/>
        </w:rPr>
        <w:t>Jadiriyah</w:t>
      </w:r>
      <w:proofErr w:type="spellEnd"/>
      <w:r w:rsidRPr="00AF6D05">
        <w:rPr>
          <w:rFonts w:ascii="Times New Roman" w:eastAsia="Calibri" w:hAnsi="Times New Roman" w:cs="Times New Roman"/>
          <w:bCs/>
          <w:sz w:val="20"/>
          <w:szCs w:val="20"/>
        </w:rPr>
        <w:t>, Baghdad, Iraq</w:t>
      </w:r>
    </w:p>
    <w:p w:rsidR="00AF6D05" w:rsidRPr="00AF6D05" w:rsidRDefault="00AF6D05" w:rsidP="00AF6D05">
      <w:pPr>
        <w:numPr>
          <w:ilvl w:val="0"/>
          <w:numId w:val="1"/>
        </w:numPr>
        <w:bidi w:val="0"/>
        <w:spacing w:after="0" w:line="240" w:lineRule="auto"/>
        <w:contextualSpacing/>
        <w:jc w:val="center"/>
        <w:rPr>
          <w:rFonts w:ascii="Times New Roman" w:eastAsia="Calibri" w:hAnsi="Times New Roman" w:cs="Times New Roman"/>
          <w:bCs/>
          <w:sz w:val="20"/>
          <w:szCs w:val="20"/>
        </w:rPr>
      </w:pPr>
      <w:r w:rsidRPr="00AF6D05">
        <w:rPr>
          <w:rFonts w:ascii="Times New Roman" w:eastAsia="Calibri" w:hAnsi="Times New Roman" w:cs="Times New Roman"/>
          <w:bCs/>
          <w:sz w:val="20"/>
          <w:szCs w:val="20"/>
        </w:rPr>
        <w:t xml:space="preserve">Dept. of Physics, College of Science, </w:t>
      </w:r>
      <w:proofErr w:type="spellStart"/>
      <w:r w:rsidRPr="00AF6D05">
        <w:rPr>
          <w:rFonts w:ascii="Times New Roman" w:eastAsia="Calibri" w:hAnsi="Times New Roman" w:cs="Times New Roman"/>
          <w:bCs/>
          <w:sz w:val="20"/>
          <w:szCs w:val="20"/>
        </w:rPr>
        <w:t>Thi-Qar</w:t>
      </w:r>
      <w:proofErr w:type="spellEnd"/>
      <w:r w:rsidRPr="00AF6D05">
        <w:rPr>
          <w:rFonts w:ascii="Times New Roman" w:eastAsia="Calibri" w:hAnsi="Times New Roman" w:cs="Times New Roman"/>
          <w:bCs/>
          <w:sz w:val="20"/>
          <w:szCs w:val="20"/>
        </w:rPr>
        <w:t xml:space="preserve"> University, </w:t>
      </w:r>
      <w:proofErr w:type="spellStart"/>
      <w:r w:rsidRPr="00AF6D05">
        <w:rPr>
          <w:rFonts w:ascii="Times New Roman" w:eastAsia="Calibri" w:hAnsi="Times New Roman" w:cs="Times New Roman"/>
          <w:bCs/>
          <w:sz w:val="20"/>
          <w:szCs w:val="20"/>
        </w:rPr>
        <w:t>Thi</w:t>
      </w:r>
      <w:proofErr w:type="spellEnd"/>
      <w:r w:rsidRPr="00AF6D05">
        <w:rPr>
          <w:rFonts w:ascii="Times New Roman" w:eastAsia="Calibri" w:hAnsi="Times New Roman" w:cs="Times New Roman"/>
          <w:bCs/>
          <w:sz w:val="20"/>
          <w:szCs w:val="20"/>
        </w:rPr>
        <w:t xml:space="preserve"> </w:t>
      </w:r>
      <w:proofErr w:type="spellStart"/>
      <w:r w:rsidRPr="00AF6D05">
        <w:rPr>
          <w:rFonts w:ascii="Times New Roman" w:eastAsia="Calibri" w:hAnsi="Times New Roman" w:cs="Times New Roman"/>
          <w:bCs/>
          <w:sz w:val="20"/>
          <w:szCs w:val="20"/>
        </w:rPr>
        <w:t>Qar</w:t>
      </w:r>
      <w:proofErr w:type="spellEnd"/>
      <w:r w:rsidRPr="00AF6D05">
        <w:rPr>
          <w:rFonts w:ascii="Times New Roman" w:eastAsia="Calibri" w:hAnsi="Times New Roman" w:cs="Times New Roman"/>
          <w:bCs/>
          <w:sz w:val="20"/>
          <w:szCs w:val="20"/>
        </w:rPr>
        <w:t>, Iraq</w:t>
      </w:r>
    </w:p>
    <w:p w:rsidR="00AF6D05" w:rsidRPr="00AF6D05" w:rsidRDefault="00AF6D05" w:rsidP="00AF6D05">
      <w:pPr>
        <w:numPr>
          <w:ilvl w:val="0"/>
          <w:numId w:val="1"/>
        </w:numPr>
        <w:bidi w:val="0"/>
        <w:spacing w:after="0" w:line="240" w:lineRule="auto"/>
        <w:contextualSpacing/>
        <w:jc w:val="center"/>
        <w:rPr>
          <w:rFonts w:ascii="Times New Roman" w:eastAsia="Calibri" w:hAnsi="Times New Roman" w:cs="Times New Roman"/>
          <w:bCs/>
          <w:color w:val="000000" w:themeColor="text1"/>
          <w:sz w:val="20"/>
          <w:szCs w:val="20"/>
        </w:rPr>
      </w:pPr>
      <w:r w:rsidRPr="00AF6D05">
        <w:rPr>
          <w:rFonts w:ascii="Times New Roman" w:eastAsia="Calibri" w:hAnsi="Times New Roman" w:cs="Times New Roman"/>
          <w:bCs/>
          <w:color w:val="000000" w:themeColor="text1"/>
          <w:sz w:val="20"/>
          <w:szCs w:val="20"/>
        </w:rPr>
        <w:t>Professor Emeritus of Physics, University of Firenze, Italy</w:t>
      </w:r>
    </w:p>
    <w:p w:rsidR="0022345D" w:rsidRPr="0022345D" w:rsidRDefault="0022345D" w:rsidP="00AF6D05">
      <w:pPr>
        <w:bidi w:val="0"/>
        <w:spacing w:line="288" w:lineRule="auto"/>
        <w:rPr>
          <w:rFonts w:ascii="Calibri" w:eastAsia="Times New Roman" w:hAnsi="Calibri" w:cs="Arial"/>
          <w:sz w:val="21"/>
          <w:szCs w:val="21"/>
          <w:lang w:eastAsia="it-IT" w:bidi="ar-IQ"/>
        </w:rPr>
      </w:pPr>
    </w:p>
    <w:p w:rsidR="0022345D" w:rsidRPr="0022345D" w:rsidRDefault="0022345D" w:rsidP="0022345D">
      <w:pPr>
        <w:spacing w:line="288" w:lineRule="auto"/>
        <w:rPr>
          <w:rFonts w:ascii="Calibri" w:eastAsia="Times New Roman" w:hAnsi="Calibri" w:cs="Arial"/>
          <w:iCs/>
          <w:sz w:val="21"/>
          <w:szCs w:val="21"/>
          <w:lang w:eastAsia="it-IT" w:bidi="ar-IQ"/>
        </w:rPr>
      </w:pPr>
    </w:p>
    <w:p w:rsidR="0022345D" w:rsidRPr="0022345D" w:rsidRDefault="0022345D" w:rsidP="0022345D">
      <w:pPr>
        <w:bidi w:val="0"/>
        <w:spacing w:after="0" w:line="480" w:lineRule="auto"/>
        <w:jc w:val="both"/>
        <w:rPr>
          <w:rFonts w:ascii="Times New Roman" w:eastAsia="Times New Roman" w:hAnsi="Times New Roman" w:cs="Times New Roman"/>
          <w:bCs/>
          <w:iCs/>
          <w:sz w:val="24"/>
          <w:szCs w:val="24"/>
          <w:rtl/>
        </w:rPr>
      </w:pPr>
      <w:r w:rsidRPr="0022345D">
        <w:rPr>
          <w:rFonts w:ascii="Times New Roman" w:eastAsia="Times New Roman" w:hAnsi="Times New Roman" w:cs="Times New Roman"/>
          <w:bCs/>
          <w:iCs/>
          <w:sz w:val="24"/>
          <w:szCs w:val="24"/>
        </w:rPr>
        <w:t>Abstract- Theoretical and experimental studies on chaos synchronization</w:t>
      </w:r>
      <w:r>
        <w:rPr>
          <w:rFonts w:ascii="Times New Roman" w:eastAsia="Times New Roman" w:hAnsi="Times New Roman" w:cs="Times New Roman"/>
          <w:bCs/>
          <w:iCs/>
          <w:sz w:val="24"/>
          <w:szCs w:val="24"/>
        </w:rPr>
        <w:t xml:space="preserve"> between</w:t>
      </w:r>
      <w:r w:rsidRPr="0022345D">
        <w:rPr>
          <w:rFonts w:ascii="Times New Roman" w:eastAsia="Times New Roman" w:hAnsi="Times New Roman" w:cs="Times New Roman"/>
          <w:bCs/>
          <w:iCs/>
          <w:sz w:val="24"/>
          <w:szCs w:val="24"/>
        </w:rPr>
        <w:t xml:space="preserve"> two Quantum Dot Light Emitting Diodes (QDLEDs) have been reported in this work. The delay coupling via optoelectronics feedback configurations originates the dynamics in each QDLED. The synchronization is achieved in unidirectional and bidirectional configurations. Depending on the coupling strength parameter, the system exhibits (non – partial - complete) synchronization. The synchronization is evaluated by means of the residual chaos and the coherence </w:t>
      </w:r>
      <w:r>
        <w:rPr>
          <w:rFonts w:ascii="Times New Roman" w:eastAsia="Times New Roman" w:hAnsi="Times New Roman" w:cs="Times New Roman"/>
          <w:bCs/>
          <w:iCs/>
          <w:sz w:val="24"/>
          <w:szCs w:val="24"/>
        </w:rPr>
        <w:t>of</w:t>
      </w:r>
      <w:r w:rsidRPr="0022345D">
        <w:rPr>
          <w:rFonts w:ascii="Times New Roman" w:eastAsia="Times New Roman" w:hAnsi="Times New Roman" w:cs="Times New Roman"/>
          <w:bCs/>
          <w:iCs/>
          <w:sz w:val="24"/>
          <w:szCs w:val="24"/>
        </w:rPr>
        <w:t xml:space="preserve"> the optimal coupling strength</w:t>
      </w:r>
    </w:p>
    <w:p w:rsidR="0022345D" w:rsidRPr="0022345D" w:rsidRDefault="0022345D" w:rsidP="0022345D">
      <w:pPr>
        <w:bidi w:val="0"/>
        <w:spacing w:after="0" w:line="480" w:lineRule="auto"/>
        <w:jc w:val="both"/>
        <w:rPr>
          <w:rFonts w:ascii="Times New Roman" w:eastAsia="Times New Roman" w:hAnsi="Times New Roman" w:cs="Times New Roman"/>
          <w:b/>
          <w:i/>
          <w:sz w:val="24"/>
          <w:szCs w:val="24"/>
        </w:rPr>
      </w:pPr>
    </w:p>
    <w:p w:rsidR="0022345D" w:rsidRPr="0022345D" w:rsidRDefault="0022345D" w:rsidP="0022345D">
      <w:pPr>
        <w:bidi w:val="0"/>
        <w:spacing w:line="480" w:lineRule="auto"/>
        <w:jc w:val="both"/>
        <w:rPr>
          <w:rFonts w:ascii="Times New Roman" w:eastAsia="Times New Roman" w:hAnsi="Times New Roman" w:cs="Times New Roman"/>
          <w:b/>
          <w:i/>
          <w:sz w:val="24"/>
          <w:szCs w:val="24"/>
        </w:rPr>
      </w:pPr>
      <w:r w:rsidRPr="0022345D">
        <w:rPr>
          <w:rFonts w:ascii="Times New Roman" w:eastAsia="Times New Roman" w:hAnsi="Times New Roman" w:cs="Times New Roman"/>
          <w:b/>
          <w:i/>
          <w:sz w:val="24"/>
          <w:szCs w:val="24"/>
        </w:rPr>
        <w:t>Index Terms— QDLED, optoelectronic feedback, parameters mismatch, chaos synchronization residue, control.</w:t>
      </w:r>
    </w:p>
    <w:p w:rsidR="00D71E73" w:rsidRDefault="00D71E73" w:rsidP="0022345D">
      <w:pPr>
        <w:bidi w:val="0"/>
        <w:rPr>
          <w:lang w:bidi="ar-IQ"/>
        </w:rPr>
      </w:pPr>
    </w:p>
    <w:sectPr w:rsidR="00D71E73" w:rsidSect="00AA0FA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976555"/>
    <w:multiLevelType w:val="hybridMultilevel"/>
    <w:tmpl w:val="329CD7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45D"/>
    <w:rsid w:val="0022345D"/>
    <w:rsid w:val="00A906C8"/>
    <w:rsid w:val="00AA0FAA"/>
    <w:rsid w:val="00AF6D05"/>
    <w:rsid w:val="00D71E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1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almadar</dc:creator>
  <cp:lastModifiedBy>almadar</cp:lastModifiedBy>
  <cp:revision>5</cp:revision>
  <dcterms:created xsi:type="dcterms:W3CDTF">2015-03-24T14:00:00Z</dcterms:created>
  <dcterms:modified xsi:type="dcterms:W3CDTF">2015-03-27T08:17:00Z</dcterms:modified>
</cp:coreProperties>
</file>